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9845" w14:textId="6786B080" w:rsidR="007D10BF" w:rsidRPr="00512DDD" w:rsidRDefault="007D10BF" w:rsidP="00512DDD">
      <w:pPr>
        <w:pStyle w:val="Title"/>
      </w:pPr>
      <w:bookmarkStart w:id="0" w:name="_GoBack"/>
      <w:bookmarkEnd w:id="0"/>
      <w:r w:rsidRPr="00512DDD">
        <w:t>Proposal Evaluation Rubric</w:t>
      </w:r>
      <w:r w:rsidRPr="00512DDD">
        <w:tab/>
      </w:r>
    </w:p>
    <w:p w14:paraId="0EC33CC7" w14:textId="0CF3158C" w:rsidR="007D10BF" w:rsidRPr="00512DDD" w:rsidRDefault="007D10BF" w:rsidP="007D10BF">
      <w:r w:rsidRPr="00512DDD">
        <w:t>Reviewers will be asked to evaluate each component of the proposal application, as well as the proposal’s overall fit with the program, using a common scoring rubric. Reviewers will independently read and evaluate each proposal. As part of the review of all applications, reviewers will be asked to prioritize proposals for funding within each category. Reviewers are asked to disclose potential conflicts of interest and recuse themselves from review of proposals that may constitute a conflict.</w:t>
      </w:r>
    </w:p>
    <w:p w14:paraId="72FF4A20" w14:textId="412C814D" w:rsidR="007D10BF" w:rsidRPr="00512DDD" w:rsidRDefault="007D10BF" w:rsidP="007D10BF"/>
    <w:p w14:paraId="464684BB" w14:textId="648E4E36" w:rsidR="007D10BF" w:rsidRPr="00512DDD" w:rsidRDefault="007D10BF" w:rsidP="007D10BF">
      <w:pPr>
        <w:rPr>
          <w:rFonts w:eastAsia="Times New Roman" w:cs="Times New Roman"/>
        </w:rPr>
      </w:pPr>
      <w:r w:rsidRPr="00512DDD">
        <w:t xml:space="preserve">Course </w:t>
      </w:r>
      <w:r w:rsidR="00512DDD" w:rsidRPr="00512DDD">
        <w:t>development</w:t>
      </w:r>
      <w:r w:rsidRPr="00512DDD">
        <w:t xml:space="preserve"> grants support the redesign of courses in STEM or a foreign language</w:t>
      </w:r>
      <w:r w:rsidR="00512DDD" w:rsidRPr="00512DDD">
        <w:t>, involve</w:t>
      </w:r>
      <w:r w:rsidR="00512DDD" w:rsidRPr="00512DDD">
        <w:rPr>
          <w:rFonts w:eastAsia="Times New Roman" w:cs="Arial"/>
          <w:color w:val="000000"/>
          <w:sz w:val="22"/>
          <w:szCs w:val="22"/>
        </w:rPr>
        <w:t xml:space="preserve"> real world simulations, instrumented learning, or learning analytics applications</w:t>
      </w:r>
      <w:r w:rsidRPr="00512DDD">
        <w:t xml:space="preserve">, and require the support of the applicant’s department and college. 4-VA at Virginia Tech expects to offer no fewer than </w:t>
      </w:r>
      <w:r w:rsidR="00512DDD" w:rsidRPr="00512DDD">
        <w:t>three</w:t>
      </w:r>
      <w:r w:rsidRPr="00512DDD">
        <w:t xml:space="preserve"> course redesign grants and no more than five in a given academic year. The expected minimum allocation is $</w:t>
      </w:r>
      <w:r w:rsidR="00512DDD" w:rsidRPr="00512DDD">
        <w:t>50</w:t>
      </w:r>
      <w:r w:rsidRPr="00512DDD">
        <w:t xml:space="preserve">,000, while the expected </w:t>
      </w:r>
      <w:r w:rsidR="00512DDD" w:rsidRPr="00512DDD">
        <w:t>maximum allocation is $100</w:t>
      </w:r>
      <w:r w:rsidRPr="00512DDD">
        <w:t>,000.</w:t>
      </w:r>
    </w:p>
    <w:p w14:paraId="6BA87B9D" w14:textId="636942FC" w:rsidR="00512DDD" w:rsidRPr="00512DDD" w:rsidRDefault="00512DDD" w:rsidP="007D10BF"/>
    <w:tbl>
      <w:tblPr>
        <w:tblW w:w="9344" w:type="dxa"/>
        <w:tblCellMar>
          <w:left w:w="0" w:type="dxa"/>
          <w:right w:w="0" w:type="dxa"/>
        </w:tblCellMar>
        <w:tblLook w:val="04A0" w:firstRow="1" w:lastRow="0" w:firstColumn="1" w:lastColumn="0" w:noHBand="0" w:noVBand="1"/>
      </w:tblPr>
      <w:tblGrid>
        <w:gridCol w:w="2944"/>
        <w:gridCol w:w="6400"/>
      </w:tblGrid>
      <w:tr w:rsidR="00512DDD" w:rsidRPr="00512DDD" w14:paraId="5119F784" w14:textId="77777777" w:rsidTr="00512DD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9B1425" w14:textId="77777777" w:rsidR="00512DDD" w:rsidRPr="00512DDD" w:rsidRDefault="00512DDD" w:rsidP="00512DDD">
            <w:pPr>
              <w:rPr>
                <w:rFonts w:eastAsia="Times New Roman" w:cs="Arial"/>
                <w:b/>
                <w:bCs/>
                <w:sz w:val="28"/>
                <w:szCs w:val="28"/>
              </w:rPr>
            </w:pPr>
            <w:r w:rsidRPr="00512DDD">
              <w:rPr>
                <w:rFonts w:eastAsia="Times New Roman" w:cs="Arial"/>
                <w:b/>
                <w:bCs/>
                <w:sz w:val="28"/>
                <w:szCs w:val="28"/>
              </w:rPr>
              <w:t>Scoring Group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60AEAE" w14:textId="77777777" w:rsidR="00512DDD" w:rsidRPr="00512DDD" w:rsidRDefault="00512DDD" w:rsidP="00512DDD">
            <w:pPr>
              <w:rPr>
                <w:rFonts w:eastAsia="Times New Roman" w:cs="Arial"/>
                <w:b/>
                <w:bCs/>
                <w:sz w:val="28"/>
                <w:szCs w:val="28"/>
              </w:rPr>
            </w:pPr>
            <w:r w:rsidRPr="00512DDD">
              <w:rPr>
                <w:rFonts w:eastAsia="Times New Roman" w:cs="Arial"/>
                <w:b/>
                <w:bCs/>
                <w:sz w:val="28"/>
                <w:szCs w:val="28"/>
              </w:rPr>
              <w:t>Category</w:t>
            </w:r>
          </w:p>
        </w:tc>
      </w:tr>
      <w:tr w:rsidR="00512DDD" w:rsidRPr="00512DDD" w14:paraId="5A970D0C" w14:textId="77777777" w:rsidTr="00512DDD">
        <w:trPr>
          <w:trHeight w:val="315"/>
        </w:trPr>
        <w:tc>
          <w:tcPr>
            <w:tcW w:w="0" w:type="auto"/>
            <w:vMerge w:val="restart"/>
            <w:tcBorders>
              <w:top w:val="single" w:sz="6" w:space="0" w:color="CCCCCC"/>
              <w:left w:val="single" w:sz="6" w:space="0" w:color="CCCCCC"/>
              <w:right w:val="single" w:sz="6" w:space="0" w:color="CCCCCC"/>
            </w:tcBorders>
            <w:tcMar>
              <w:top w:w="30" w:type="dxa"/>
              <w:left w:w="45" w:type="dxa"/>
              <w:bottom w:w="30" w:type="dxa"/>
              <w:right w:w="45" w:type="dxa"/>
            </w:tcMar>
            <w:vAlign w:val="center"/>
            <w:hideMark/>
          </w:tcPr>
          <w:p w14:paraId="57EAFA67" w14:textId="282A035E" w:rsidR="00512DDD" w:rsidRPr="00512DDD" w:rsidRDefault="00512DDD" w:rsidP="00512DDD">
            <w:pPr>
              <w:jc w:val="center"/>
              <w:rPr>
                <w:rFonts w:eastAsia="Times New Roman" w:cs="Arial"/>
                <w:sz w:val="22"/>
                <w:szCs w:val="22"/>
              </w:rPr>
            </w:pPr>
            <w:r w:rsidRPr="00512DDD">
              <w:rPr>
                <w:rFonts w:eastAsia="Times New Roman" w:cs="Arial"/>
                <w:sz w:val="22"/>
                <w:szCs w:val="22"/>
              </w:rPr>
              <w:t>4-VA Goals</w:t>
            </w:r>
            <w:r>
              <w:rPr>
                <w:rFonts w:eastAsia="Times New Roman" w:cs="Arial"/>
                <w:sz w:val="22"/>
                <w:szCs w:val="22"/>
              </w:rPr>
              <w:t>*</w:t>
            </w:r>
          </w:p>
          <w:p w14:paraId="6C396688" w14:textId="4A356841" w:rsidR="00512DDD" w:rsidRPr="00512DDD" w:rsidRDefault="00512DDD" w:rsidP="00512DDD">
            <w:pPr>
              <w:jc w:val="cente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1F589A" w14:textId="77777777" w:rsidR="00512DDD" w:rsidRPr="00512DDD" w:rsidRDefault="00512DDD" w:rsidP="00512DDD">
            <w:pPr>
              <w:rPr>
                <w:rFonts w:eastAsia="Times New Roman" w:cs="Arial"/>
                <w:sz w:val="22"/>
                <w:szCs w:val="22"/>
              </w:rPr>
            </w:pPr>
            <w:r w:rsidRPr="00512DDD">
              <w:rPr>
                <w:rFonts w:eastAsia="Times New Roman" w:cs="Arial"/>
                <w:sz w:val="22"/>
                <w:szCs w:val="22"/>
              </w:rPr>
              <w:t>Increases opportunities and enhances the success rate of students in STEM</w:t>
            </w:r>
          </w:p>
        </w:tc>
      </w:tr>
      <w:tr w:rsidR="00512DDD" w:rsidRPr="00512DDD" w14:paraId="7DCA54D0" w14:textId="77777777" w:rsidTr="00512DDD">
        <w:trPr>
          <w:trHeight w:val="315"/>
        </w:trPr>
        <w:tc>
          <w:tcPr>
            <w:tcW w:w="0" w:type="auto"/>
            <w:vMerge/>
            <w:tcBorders>
              <w:left w:val="single" w:sz="6" w:space="0" w:color="CCCCCC"/>
              <w:right w:val="single" w:sz="6" w:space="0" w:color="CCCCCC"/>
            </w:tcBorders>
            <w:tcMar>
              <w:top w:w="30" w:type="dxa"/>
              <w:left w:w="45" w:type="dxa"/>
              <w:bottom w:w="30" w:type="dxa"/>
              <w:right w:w="45" w:type="dxa"/>
            </w:tcMar>
            <w:vAlign w:val="bottom"/>
            <w:hideMark/>
          </w:tcPr>
          <w:p w14:paraId="6FDC5DFF" w14:textId="76DB58CF" w:rsidR="00512DDD" w:rsidRPr="00512DDD" w:rsidRDefault="00512DDD" w:rsidP="00512DDD">
            <w:pP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0EFB44" w14:textId="77777777" w:rsidR="00512DDD" w:rsidRPr="00512DDD" w:rsidRDefault="00512DDD" w:rsidP="00512DDD">
            <w:pPr>
              <w:rPr>
                <w:rFonts w:eastAsia="Times New Roman" w:cs="Arial"/>
                <w:sz w:val="22"/>
                <w:szCs w:val="22"/>
              </w:rPr>
            </w:pPr>
            <w:r w:rsidRPr="00512DDD">
              <w:rPr>
                <w:rFonts w:eastAsia="Times New Roman" w:cs="Arial"/>
                <w:sz w:val="22"/>
                <w:szCs w:val="22"/>
              </w:rPr>
              <w:t>Defines or improves instructional models</w:t>
            </w:r>
          </w:p>
        </w:tc>
      </w:tr>
      <w:tr w:rsidR="00512DDD" w:rsidRPr="00512DDD" w14:paraId="587146E2" w14:textId="77777777" w:rsidTr="00512DDD">
        <w:trPr>
          <w:trHeight w:val="315"/>
        </w:trPr>
        <w:tc>
          <w:tcPr>
            <w:tcW w:w="0" w:type="auto"/>
            <w:vMerge/>
            <w:tcBorders>
              <w:left w:val="single" w:sz="6" w:space="0" w:color="CCCCCC"/>
              <w:right w:val="single" w:sz="6" w:space="0" w:color="CCCCCC"/>
            </w:tcBorders>
            <w:tcMar>
              <w:top w:w="30" w:type="dxa"/>
              <w:left w:w="45" w:type="dxa"/>
              <w:bottom w:w="30" w:type="dxa"/>
              <w:right w:w="45" w:type="dxa"/>
            </w:tcMar>
            <w:vAlign w:val="bottom"/>
            <w:hideMark/>
          </w:tcPr>
          <w:p w14:paraId="5624AC2B" w14:textId="7F1461CA" w:rsidR="00512DDD" w:rsidRPr="00512DDD" w:rsidRDefault="00512DDD" w:rsidP="00512DDD">
            <w:pP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EDCA28" w14:textId="77777777" w:rsidR="00512DDD" w:rsidRPr="00512DDD" w:rsidRDefault="00512DDD" w:rsidP="00512DDD">
            <w:pPr>
              <w:rPr>
                <w:rFonts w:eastAsia="Times New Roman" w:cs="Arial"/>
                <w:sz w:val="22"/>
                <w:szCs w:val="22"/>
              </w:rPr>
            </w:pPr>
            <w:r w:rsidRPr="00512DDD">
              <w:rPr>
                <w:rFonts w:eastAsia="Times New Roman" w:cs="Arial"/>
                <w:sz w:val="22"/>
                <w:szCs w:val="22"/>
              </w:rPr>
              <w:t>expands access to programs that prepare students for rewarding careers</w:t>
            </w:r>
          </w:p>
        </w:tc>
      </w:tr>
      <w:tr w:rsidR="00512DDD" w:rsidRPr="00512DDD" w14:paraId="3D12E951" w14:textId="77777777" w:rsidTr="00512DDD">
        <w:trPr>
          <w:trHeight w:val="315"/>
        </w:trPr>
        <w:tc>
          <w:tcPr>
            <w:tcW w:w="0" w:type="auto"/>
            <w:vMerge/>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B92A97" w14:textId="12FE175F" w:rsidR="00512DDD" w:rsidRPr="00512DDD" w:rsidRDefault="00512DDD" w:rsidP="00512DDD">
            <w:pP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39835" w14:textId="77777777" w:rsidR="00512DDD" w:rsidRPr="00512DDD" w:rsidRDefault="00512DDD" w:rsidP="00512DDD">
            <w:pPr>
              <w:rPr>
                <w:rFonts w:eastAsia="Times New Roman" w:cs="Arial"/>
                <w:sz w:val="22"/>
                <w:szCs w:val="22"/>
              </w:rPr>
            </w:pPr>
            <w:r w:rsidRPr="00512DDD">
              <w:rPr>
                <w:rFonts w:eastAsia="Times New Roman" w:cs="Arial"/>
                <w:sz w:val="22"/>
                <w:szCs w:val="22"/>
              </w:rPr>
              <w:t>increases research competitiveness</w:t>
            </w:r>
          </w:p>
        </w:tc>
      </w:tr>
      <w:tr w:rsidR="00512DDD" w:rsidRPr="00512DDD" w14:paraId="20334552" w14:textId="77777777" w:rsidTr="00512DDD">
        <w:trPr>
          <w:trHeight w:val="315"/>
        </w:trPr>
        <w:tc>
          <w:tcPr>
            <w:tcW w:w="0" w:type="auto"/>
            <w:vMerge w:val="restart"/>
            <w:tcBorders>
              <w:top w:val="single" w:sz="6" w:space="0" w:color="CCCCCC"/>
              <w:left w:val="single" w:sz="6" w:space="0" w:color="CCCCCC"/>
              <w:right w:val="single" w:sz="6" w:space="0" w:color="CCCCCC"/>
            </w:tcBorders>
            <w:tcMar>
              <w:top w:w="30" w:type="dxa"/>
              <w:left w:w="45" w:type="dxa"/>
              <w:bottom w:w="30" w:type="dxa"/>
              <w:right w:w="45" w:type="dxa"/>
            </w:tcMar>
            <w:vAlign w:val="center"/>
            <w:hideMark/>
          </w:tcPr>
          <w:p w14:paraId="198DADE2" w14:textId="79C18766" w:rsidR="00512DDD" w:rsidRPr="00512DDD" w:rsidRDefault="00512DDD" w:rsidP="00512DDD">
            <w:pPr>
              <w:jc w:val="center"/>
              <w:rPr>
                <w:rFonts w:eastAsia="Times New Roman" w:cs="Arial"/>
                <w:sz w:val="22"/>
                <w:szCs w:val="22"/>
              </w:rPr>
            </w:pPr>
            <w:r w:rsidRPr="00512DDD">
              <w:rPr>
                <w:rFonts w:eastAsia="Times New Roman" w:cs="Arial"/>
                <w:sz w:val="22"/>
                <w:szCs w:val="22"/>
              </w:rPr>
              <w:t>Excellence in Teaching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546854" w14:textId="77777777" w:rsidR="00512DDD" w:rsidRPr="00512DDD" w:rsidRDefault="00512DDD" w:rsidP="00512DDD">
            <w:pPr>
              <w:rPr>
                <w:rFonts w:eastAsia="Times New Roman" w:cs="Arial"/>
                <w:sz w:val="22"/>
                <w:szCs w:val="22"/>
              </w:rPr>
            </w:pPr>
            <w:r w:rsidRPr="00512DDD">
              <w:rPr>
                <w:rFonts w:eastAsia="Times New Roman" w:cs="Arial"/>
                <w:sz w:val="22"/>
                <w:szCs w:val="22"/>
              </w:rPr>
              <w:t>Clearly defined learning objectives</w:t>
            </w:r>
          </w:p>
        </w:tc>
      </w:tr>
      <w:tr w:rsidR="00512DDD" w:rsidRPr="00512DDD" w14:paraId="6CC7A074" w14:textId="77777777" w:rsidTr="00107978">
        <w:trPr>
          <w:trHeight w:val="315"/>
        </w:trPr>
        <w:tc>
          <w:tcPr>
            <w:tcW w:w="0" w:type="auto"/>
            <w:vMerge/>
            <w:tcBorders>
              <w:left w:val="single" w:sz="6" w:space="0" w:color="CCCCCC"/>
              <w:right w:val="single" w:sz="6" w:space="0" w:color="CCCCCC"/>
            </w:tcBorders>
            <w:tcMar>
              <w:top w:w="30" w:type="dxa"/>
              <w:left w:w="45" w:type="dxa"/>
              <w:bottom w:w="30" w:type="dxa"/>
              <w:right w:w="45" w:type="dxa"/>
            </w:tcMar>
            <w:vAlign w:val="bottom"/>
            <w:hideMark/>
          </w:tcPr>
          <w:p w14:paraId="69F7165B" w14:textId="5E4D2F74" w:rsidR="00512DDD" w:rsidRPr="00512DDD" w:rsidRDefault="00512DDD" w:rsidP="00512DDD">
            <w:pP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218A68" w14:textId="77777777" w:rsidR="00512DDD" w:rsidRPr="00512DDD" w:rsidRDefault="00512DDD" w:rsidP="00512DDD">
            <w:pPr>
              <w:rPr>
                <w:rFonts w:eastAsia="Times New Roman" w:cs="Arial"/>
                <w:sz w:val="22"/>
                <w:szCs w:val="22"/>
              </w:rPr>
            </w:pPr>
            <w:r w:rsidRPr="00512DDD">
              <w:rPr>
                <w:rFonts w:eastAsia="Times New Roman" w:cs="Arial"/>
                <w:sz w:val="22"/>
                <w:szCs w:val="22"/>
              </w:rPr>
              <w:t>Pedagogically sound learning activities</w:t>
            </w:r>
          </w:p>
        </w:tc>
      </w:tr>
      <w:tr w:rsidR="00512DDD" w:rsidRPr="00512DDD" w14:paraId="66EA53DA" w14:textId="77777777" w:rsidTr="00107978">
        <w:trPr>
          <w:trHeight w:val="315"/>
        </w:trPr>
        <w:tc>
          <w:tcPr>
            <w:tcW w:w="0" w:type="auto"/>
            <w:vMerge/>
            <w:tcBorders>
              <w:left w:val="single" w:sz="6" w:space="0" w:color="CCCCCC"/>
              <w:right w:val="single" w:sz="6" w:space="0" w:color="CCCCCC"/>
            </w:tcBorders>
            <w:tcMar>
              <w:top w:w="30" w:type="dxa"/>
              <w:left w:w="45" w:type="dxa"/>
              <w:bottom w:w="30" w:type="dxa"/>
              <w:right w:w="45" w:type="dxa"/>
            </w:tcMar>
            <w:vAlign w:val="bottom"/>
            <w:hideMark/>
          </w:tcPr>
          <w:p w14:paraId="416378D4" w14:textId="1647DAF4" w:rsidR="00512DDD" w:rsidRPr="00512DDD" w:rsidRDefault="00512DDD" w:rsidP="00512DDD">
            <w:pP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1F2C11" w14:textId="77777777" w:rsidR="00512DDD" w:rsidRPr="00512DDD" w:rsidRDefault="00512DDD" w:rsidP="00512DDD">
            <w:pPr>
              <w:rPr>
                <w:rFonts w:eastAsia="Times New Roman" w:cs="Arial"/>
                <w:sz w:val="22"/>
                <w:szCs w:val="22"/>
              </w:rPr>
            </w:pPr>
            <w:r w:rsidRPr="00512DDD">
              <w:rPr>
                <w:rFonts w:eastAsia="Times New Roman" w:cs="Arial"/>
                <w:sz w:val="22"/>
                <w:szCs w:val="22"/>
              </w:rPr>
              <w:t>Robust assessment of learning outcomes</w:t>
            </w:r>
          </w:p>
        </w:tc>
      </w:tr>
      <w:tr w:rsidR="00512DDD" w:rsidRPr="00512DDD" w14:paraId="7F490F5A" w14:textId="77777777" w:rsidTr="00107978">
        <w:trPr>
          <w:trHeight w:val="315"/>
        </w:trPr>
        <w:tc>
          <w:tcPr>
            <w:tcW w:w="0" w:type="auto"/>
            <w:vMerge/>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9FBD91" w14:textId="4EBC5B21" w:rsidR="00512DDD" w:rsidRPr="00512DDD" w:rsidRDefault="00512DDD" w:rsidP="00512DDD">
            <w:pP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3848AD" w14:textId="77777777" w:rsidR="00512DDD" w:rsidRPr="00512DDD" w:rsidRDefault="00512DDD" w:rsidP="00512DDD">
            <w:pPr>
              <w:rPr>
                <w:rFonts w:eastAsia="Times New Roman" w:cs="Arial"/>
                <w:sz w:val="22"/>
                <w:szCs w:val="22"/>
              </w:rPr>
            </w:pPr>
            <w:r w:rsidRPr="00512DDD">
              <w:rPr>
                <w:rFonts w:eastAsia="Times New Roman" w:cs="Arial"/>
                <w:sz w:val="22"/>
                <w:szCs w:val="22"/>
              </w:rPr>
              <w:t>Contribution to innovative instructional practice</w:t>
            </w:r>
          </w:p>
        </w:tc>
      </w:tr>
      <w:tr w:rsidR="00512DDD" w:rsidRPr="00512DDD" w14:paraId="54654734" w14:textId="77777777" w:rsidTr="00512DDD">
        <w:trPr>
          <w:trHeight w:val="315"/>
        </w:trPr>
        <w:tc>
          <w:tcPr>
            <w:tcW w:w="0" w:type="auto"/>
            <w:vMerge w:val="restart"/>
            <w:tcBorders>
              <w:top w:val="single" w:sz="6" w:space="0" w:color="CCCCCC"/>
              <w:left w:val="single" w:sz="6" w:space="0" w:color="CCCCCC"/>
              <w:right w:val="single" w:sz="6" w:space="0" w:color="CCCCCC"/>
            </w:tcBorders>
            <w:tcMar>
              <w:top w:w="30" w:type="dxa"/>
              <w:left w:w="45" w:type="dxa"/>
              <w:bottom w:w="30" w:type="dxa"/>
              <w:right w:w="45" w:type="dxa"/>
            </w:tcMar>
            <w:vAlign w:val="center"/>
            <w:hideMark/>
          </w:tcPr>
          <w:p w14:paraId="30DEEF4D" w14:textId="78EDFBAE" w:rsidR="00512DDD" w:rsidRPr="00512DDD" w:rsidRDefault="00512DDD" w:rsidP="00512DDD">
            <w:pPr>
              <w:jc w:val="center"/>
              <w:rPr>
                <w:rFonts w:eastAsia="Times New Roman" w:cs="Arial"/>
                <w:sz w:val="22"/>
                <w:szCs w:val="22"/>
              </w:rPr>
            </w:pPr>
            <w:r w:rsidRPr="00512DDD">
              <w:rPr>
                <w:rFonts w:eastAsia="Times New Roman" w:cs="Arial"/>
                <w:sz w:val="22"/>
                <w:szCs w:val="22"/>
              </w:rPr>
              <w:t>Data-driven Course Development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8F1D55" w14:textId="77777777" w:rsidR="00512DDD" w:rsidRPr="00512DDD" w:rsidRDefault="00512DDD" w:rsidP="00512DDD">
            <w:pPr>
              <w:rPr>
                <w:rFonts w:eastAsia="Times New Roman" w:cs="Arial"/>
                <w:sz w:val="22"/>
                <w:szCs w:val="22"/>
              </w:rPr>
            </w:pPr>
            <w:r w:rsidRPr="00512DDD">
              <w:rPr>
                <w:rFonts w:eastAsia="Times New Roman" w:cs="Arial"/>
                <w:sz w:val="22"/>
                <w:szCs w:val="22"/>
              </w:rPr>
              <w:t>Clear hypotheses</w:t>
            </w:r>
          </w:p>
        </w:tc>
      </w:tr>
      <w:tr w:rsidR="00512DDD" w:rsidRPr="00512DDD" w14:paraId="683C88D5" w14:textId="77777777" w:rsidTr="003F4D1C">
        <w:trPr>
          <w:trHeight w:val="315"/>
        </w:trPr>
        <w:tc>
          <w:tcPr>
            <w:tcW w:w="0" w:type="auto"/>
            <w:vMerge/>
            <w:tcBorders>
              <w:left w:val="single" w:sz="6" w:space="0" w:color="CCCCCC"/>
              <w:right w:val="single" w:sz="6" w:space="0" w:color="CCCCCC"/>
            </w:tcBorders>
            <w:tcMar>
              <w:top w:w="30" w:type="dxa"/>
              <w:left w:w="45" w:type="dxa"/>
              <w:bottom w:w="30" w:type="dxa"/>
              <w:right w:w="45" w:type="dxa"/>
            </w:tcMar>
            <w:vAlign w:val="bottom"/>
            <w:hideMark/>
          </w:tcPr>
          <w:p w14:paraId="4C698383" w14:textId="51FD94EA" w:rsidR="00512DDD" w:rsidRPr="00512DDD" w:rsidRDefault="00512DDD" w:rsidP="00512DDD">
            <w:pP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E70878" w14:textId="77777777" w:rsidR="00512DDD" w:rsidRPr="00512DDD" w:rsidRDefault="00512DDD" w:rsidP="00512DDD">
            <w:pPr>
              <w:rPr>
                <w:rFonts w:eastAsia="Times New Roman" w:cs="Arial"/>
                <w:sz w:val="22"/>
                <w:szCs w:val="22"/>
              </w:rPr>
            </w:pPr>
            <w:r w:rsidRPr="00512DDD">
              <w:rPr>
                <w:rFonts w:eastAsia="Times New Roman" w:cs="Arial"/>
                <w:sz w:val="22"/>
                <w:szCs w:val="22"/>
              </w:rPr>
              <w:t>Clear data collection methodology</w:t>
            </w:r>
          </w:p>
        </w:tc>
      </w:tr>
      <w:tr w:rsidR="00512DDD" w:rsidRPr="00512DDD" w14:paraId="1E94B881" w14:textId="77777777" w:rsidTr="003F4D1C">
        <w:trPr>
          <w:trHeight w:val="315"/>
        </w:trPr>
        <w:tc>
          <w:tcPr>
            <w:tcW w:w="0" w:type="auto"/>
            <w:vMerge/>
            <w:tcBorders>
              <w:left w:val="single" w:sz="6" w:space="0" w:color="CCCCCC"/>
              <w:right w:val="single" w:sz="6" w:space="0" w:color="CCCCCC"/>
            </w:tcBorders>
            <w:tcMar>
              <w:top w:w="30" w:type="dxa"/>
              <w:left w:w="45" w:type="dxa"/>
              <w:bottom w:w="30" w:type="dxa"/>
              <w:right w:w="45" w:type="dxa"/>
            </w:tcMar>
            <w:vAlign w:val="bottom"/>
            <w:hideMark/>
          </w:tcPr>
          <w:p w14:paraId="755A37C8" w14:textId="5B34C7C9" w:rsidR="00512DDD" w:rsidRPr="00512DDD" w:rsidRDefault="00512DDD" w:rsidP="00512DDD">
            <w:pP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1ADCC8" w14:textId="77777777" w:rsidR="00512DDD" w:rsidRPr="00512DDD" w:rsidRDefault="00512DDD" w:rsidP="00512DDD">
            <w:pPr>
              <w:rPr>
                <w:rFonts w:eastAsia="Times New Roman" w:cs="Arial"/>
                <w:sz w:val="22"/>
                <w:szCs w:val="22"/>
              </w:rPr>
            </w:pPr>
            <w:r w:rsidRPr="00512DDD">
              <w:rPr>
                <w:rFonts w:eastAsia="Times New Roman" w:cs="Arial"/>
                <w:sz w:val="22"/>
                <w:szCs w:val="22"/>
              </w:rPr>
              <w:t>Clear implementation methodology</w:t>
            </w:r>
          </w:p>
        </w:tc>
      </w:tr>
      <w:tr w:rsidR="00512DDD" w:rsidRPr="00512DDD" w14:paraId="12BC1BDD" w14:textId="77777777" w:rsidTr="003F4D1C">
        <w:trPr>
          <w:trHeight w:val="315"/>
        </w:trPr>
        <w:tc>
          <w:tcPr>
            <w:tcW w:w="0" w:type="auto"/>
            <w:vMerge/>
            <w:tcBorders>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76EA28" w14:textId="212B68E6" w:rsidR="00512DDD" w:rsidRPr="00512DDD" w:rsidRDefault="00512DDD" w:rsidP="00512DDD">
            <w:pP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01CA56" w14:textId="77777777" w:rsidR="00512DDD" w:rsidRPr="00512DDD" w:rsidRDefault="00512DDD" w:rsidP="00512DDD">
            <w:pPr>
              <w:rPr>
                <w:rFonts w:eastAsia="Times New Roman" w:cs="Arial"/>
                <w:sz w:val="22"/>
                <w:szCs w:val="22"/>
              </w:rPr>
            </w:pPr>
            <w:r w:rsidRPr="00512DDD">
              <w:rPr>
                <w:rFonts w:eastAsia="Times New Roman" w:cs="Arial"/>
                <w:sz w:val="22"/>
                <w:szCs w:val="22"/>
              </w:rPr>
              <w:t>Anticipated outcomes, impact, and/or deliverables</w:t>
            </w:r>
          </w:p>
        </w:tc>
      </w:tr>
      <w:tr w:rsidR="00512DDD" w:rsidRPr="00512DDD" w14:paraId="389FC64B" w14:textId="77777777" w:rsidTr="00895FF7">
        <w:trPr>
          <w:trHeight w:val="315"/>
        </w:trPr>
        <w:tc>
          <w:tcPr>
            <w:tcW w:w="0" w:type="auto"/>
            <w:vMerge w:val="restart"/>
            <w:tcBorders>
              <w:top w:val="single" w:sz="6" w:space="0" w:color="CCCCCC"/>
              <w:left w:val="single" w:sz="6" w:space="0" w:color="CCCCCC"/>
              <w:right w:val="single" w:sz="6" w:space="0" w:color="CCCCCC"/>
            </w:tcBorders>
            <w:tcMar>
              <w:top w:w="30" w:type="dxa"/>
              <w:left w:w="45" w:type="dxa"/>
              <w:bottom w:w="30" w:type="dxa"/>
              <w:right w:w="45" w:type="dxa"/>
            </w:tcMar>
            <w:vAlign w:val="center"/>
            <w:hideMark/>
          </w:tcPr>
          <w:p w14:paraId="55859FDC" w14:textId="1994423F" w:rsidR="00512DDD" w:rsidRPr="00512DDD" w:rsidRDefault="00512DDD" w:rsidP="00512DDD">
            <w:pPr>
              <w:jc w:val="center"/>
              <w:rPr>
                <w:rFonts w:eastAsia="Times New Roman" w:cs="Arial"/>
                <w:sz w:val="22"/>
                <w:szCs w:val="22"/>
              </w:rPr>
            </w:pPr>
            <w:r w:rsidRPr="00512DDD">
              <w:rPr>
                <w:rFonts w:eastAsia="Times New Roman" w:cs="Arial"/>
                <w:sz w:val="22"/>
                <w:szCs w:val="22"/>
              </w:rPr>
              <w:t>Quality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2AC11" w14:textId="77777777" w:rsidR="00512DDD" w:rsidRPr="00512DDD" w:rsidRDefault="00512DDD" w:rsidP="00512DDD">
            <w:pPr>
              <w:rPr>
                <w:rFonts w:eastAsia="Times New Roman" w:cs="Arial"/>
                <w:sz w:val="22"/>
                <w:szCs w:val="22"/>
              </w:rPr>
            </w:pPr>
            <w:r w:rsidRPr="00512DDD">
              <w:rPr>
                <w:rFonts w:eastAsia="Times New Roman" w:cs="Arial"/>
                <w:sz w:val="22"/>
                <w:szCs w:val="22"/>
              </w:rPr>
              <w:t>Justification of Merit or Need to improve learning gap</w:t>
            </w:r>
          </w:p>
        </w:tc>
      </w:tr>
      <w:tr w:rsidR="00512DDD" w:rsidRPr="00512DDD" w14:paraId="125252F4" w14:textId="77777777" w:rsidTr="00895FF7">
        <w:trPr>
          <w:trHeight w:val="315"/>
        </w:trPr>
        <w:tc>
          <w:tcPr>
            <w:tcW w:w="0" w:type="auto"/>
            <w:vMerge/>
            <w:tcBorders>
              <w:left w:val="single" w:sz="6" w:space="0" w:color="CCCCCC"/>
              <w:right w:val="single" w:sz="6" w:space="0" w:color="CCCCCC"/>
            </w:tcBorders>
            <w:tcMar>
              <w:top w:w="30" w:type="dxa"/>
              <w:left w:w="45" w:type="dxa"/>
              <w:bottom w:w="30" w:type="dxa"/>
              <w:right w:w="45" w:type="dxa"/>
            </w:tcMar>
            <w:vAlign w:val="center"/>
            <w:hideMark/>
          </w:tcPr>
          <w:p w14:paraId="6486F4FA" w14:textId="5432CDF2" w:rsidR="00512DDD" w:rsidRPr="00512DDD" w:rsidRDefault="00512DDD" w:rsidP="00512DDD">
            <w:pPr>
              <w:jc w:val="cente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10179" w14:textId="77777777" w:rsidR="00512DDD" w:rsidRPr="00512DDD" w:rsidRDefault="00512DDD" w:rsidP="00512DDD">
            <w:pPr>
              <w:rPr>
                <w:rFonts w:eastAsia="Times New Roman" w:cs="Arial"/>
                <w:sz w:val="22"/>
                <w:szCs w:val="22"/>
              </w:rPr>
            </w:pPr>
            <w:r w:rsidRPr="00512DDD">
              <w:rPr>
                <w:rFonts w:eastAsia="Times New Roman" w:cs="Arial"/>
                <w:sz w:val="22"/>
                <w:szCs w:val="22"/>
              </w:rPr>
              <w:t>Proposal Quality</w:t>
            </w:r>
          </w:p>
        </w:tc>
      </w:tr>
      <w:tr w:rsidR="00512DDD" w:rsidRPr="00512DDD" w14:paraId="460BE7D8" w14:textId="77777777" w:rsidTr="00895FF7">
        <w:trPr>
          <w:trHeight w:val="315"/>
        </w:trPr>
        <w:tc>
          <w:tcPr>
            <w:tcW w:w="0" w:type="auto"/>
            <w:vMerge/>
            <w:tcBorders>
              <w:left w:val="single" w:sz="6" w:space="0" w:color="CCCCCC"/>
              <w:right w:val="single" w:sz="6" w:space="0" w:color="CCCCCC"/>
            </w:tcBorders>
            <w:tcMar>
              <w:top w:w="30" w:type="dxa"/>
              <w:left w:w="45" w:type="dxa"/>
              <w:bottom w:w="30" w:type="dxa"/>
              <w:right w:w="45" w:type="dxa"/>
            </w:tcMar>
            <w:vAlign w:val="center"/>
            <w:hideMark/>
          </w:tcPr>
          <w:p w14:paraId="7B4525DE" w14:textId="7B2DC11C" w:rsidR="00512DDD" w:rsidRPr="00512DDD" w:rsidRDefault="00512DDD" w:rsidP="00512DDD">
            <w:pPr>
              <w:jc w:val="cente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CA9D93" w14:textId="77777777" w:rsidR="00512DDD" w:rsidRPr="00512DDD" w:rsidRDefault="00512DDD" w:rsidP="00512DDD">
            <w:pPr>
              <w:rPr>
                <w:rFonts w:eastAsia="Times New Roman" w:cs="Arial"/>
                <w:sz w:val="22"/>
                <w:szCs w:val="22"/>
              </w:rPr>
            </w:pPr>
            <w:r w:rsidRPr="00512DDD">
              <w:rPr>
                <w:rFonts w:eastAsia="Times New Roman" w:cs="Arial"/>
                <w:sz w:val="22"/>
                <w:szCs w:val="22"/>
              </w:rPr>
              <w:t>Project management</w:t>
            </w:r>
          </w:p>
        </w:tc>
      </w:tr>
      <w:tr w:rsidR="00512DDD" w:rsidRPr="00512DDD" w14:paraId="12F93853" w14:textId="77777777" w:rsidTr="00895FF7">
        <w:trPr>
          <w:trHeight w:val="315"/>
        </w:trPr>
        <w:tc>
          <w:tcPr>
            <w:tcW w:w="0" w:type="auto"/>
            <w:vMerge/>
            <w:tcBorders>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CA2255" w14:textId="4D2F05D7" w:rsidR="00512DDD" w:rsidRPr="00512DDD" w:rsidRDefault="00512DDD" w:rsidP="00512DDD">
            <w:pPr>
              <w:jc w:val="center"/>
              <w:rPr>
                <w:rFonts w:eastAsia="Times New Roman" w:cs="Arial"/>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4010D" w14:textId="77777777" w:rsidR="00512DDD" w:rsidRPr="00512DDD" w:rsidRDefault="00512DDD" w:rsidP="00512DDD">
            <w:pPr>
              <w:rPr>
                <w:rFonts w:eastAsia="Times New Roman" w:cs="Arial"/>
                <w:sz w:val="22"/>
                <w:szCs w:val="22"/>
              </w:rPr>
            </w:pPr>
            <w:r w:rsidRPr="00512DDD">
              <w:rPr>
                <w:rFonts w:eastAsia="Times New Roman" w:cs="Arial"/>
                <w:sz w:val="22"/>
                <w:szCs w:val="22"/>
              </w:rPr>
              <w:t>Dissemination Plan</w:t>
            </w:r>
          </w:p>
        </w:tc>
      </w:tr>
    </w:tbl>
    <w:p w14:paraId="56F4562C" w14:textId="6533AD6F" w:rsidR="007D10BF" w:rsidRPr="00512DDD" w:rsidRDefault="00512DDD" w:rsidP="007D10BF">
      <w:r>
        <w:t xml:space="preserve">*Note: </w:t>
      </w:r>
      <w:r w:rsidR="00847B24">
        <w:t>Recommended proposals should have at least 1 exemplary rating or multiple promising ratings under the</w:t>
      </w:r>
      <w:r>
        <w:t xml:space="preserve"> 4-VA Goals. </w:t>
      </w:r>
    </w:p>
    <w:sectPr w:rsidR="007D10BF" w:rsidRPr="00512DDD" w:rsidSect="002B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BF"/>
    <w:rsid w:val="002B6E45"/>
    <w:rsid w:val="00512DDD"/>
    <w:rsid w:val="007D10BF"/>
    <w:rsid w:val="00847B24"/>
    <w:rsid w:val="009457B6"/>
    <w:rsid w:val="00B27B50"/>
    <w:rsid w:val="00DC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48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0B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0B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D1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0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69601">
      <w:bodyDiv w:val="1"/>
      <w:marLeft w:val="0"/>
      <w:marRight w:val="0"/>
      <w:marTop w:val="0"/>
      <w:marBottom w:val="0"/>
      <w:divBdr>
        <w:top w:val="none" w:sz="0" w:space="0" w:color="auto"/>
        <w:left w:val="none" w:sz="0" w:space="0" w:color="auto"/>
        <w:bottom w:val="none" w:sz="0" w:space="0" w:color="auto"/>
        <w:right w:val="none" w:sz="0" w:space="0" w:color="auto"/>
      </w:divBdr>
    </w:div>
    <w:div w:id="203410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Miller</dc:creator>
  <cp:keywords/>
  <dc:description/>
  <cp:lastModifiedBy>Fisher, Kimberly Anne - reedyka</cp:lastModifiedBy>
  <cp:revision>2</cp:revision>
  <dcterms:created xsi:type="dcterms:W3CDTF">2019-04-10T18:38:00Z</dcterms:created>
  <dcterms:modified xsi:type="dcterms:W3CDTF">2019-04-10T18:38:00Z</dcterms:modified>
</cp:coreProperties>
</file>